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972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97225" w:rsidRDefault="0019722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97225" w:rsidRDefault="0019722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97225" w:rsidRDefault="0019722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ind w:left="60"/>
              <w:jc w:val="center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r>
              <w:t>19.02.2021 р. № 33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32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97225" w:rsidRDefault="0019722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rPr>
                <w:b/>
              </w:rPr>
              <w:t>0210150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97225" w:rsidRDefault="000D131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21012600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20606600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406000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", Постанова КМУ №228 </w:t>
            </w:r>
            <w:proofErr w:type="spellStart"/>
            <w:r>
              <w:t>від</w:t>
            </w:r>
            <w:proofErr w:type="spellEnd"/>
            <w:r>
              <w:t xml:space="preserve"> 28.02.2002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розгляду</w:t>
            </w:r>
            <w:proofErr w:type="spellEnd"/>
            <w:r>
              <w:t xml:space="preserve">, </w:t>
            </w:r>
            <w:proofErr w:type="spellStart"/>
            <w:r>
              <w:t>затверд</w:t>
            </w:r>
            <w:r>
              <w:t>ження</w:t>
            </w:r>
            <w:proofErr w:type="spellEnd"/>
            <w:r>
              <w:t xml:space="preserve"> та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кошторисів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", Наказ МФУ №836 </w:t>
            </w:r>
            <w:proofErr w:type="spellStart"/>
            <w:r>
              <w:t>від</w:t>
            </w:r>
            <w:proofErr w:type="spellEnd"/>
            <w:r>
              <w:t xml:space="preserve"> 26.08.2014 року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",Наказ МФУ №648 </w:t>
            </w:r>
            <w:proofErr w:type="spellStart"/>
            <w:r>
              <w:t>від</w:t>
            </w:r>
            <w:proofErr w:type="spellEnd"/>
            <w:r>
              <w:t xml:space="preserve"> 17.07.2015 року "Про </w:t>
            </w:r>
            <w:proofErr w:type="spellStart"/>
            <w:r>
              <w:t>затвердженн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форм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бюджетів2, Наказ МФУ №793 </w:t>
            </w:r>
            <w:proofErr w:type="spellStart"/>
            <w:r>
              <w:t>від</w:t>
            </w:r>
            <w:proofErr w:type="spellEnd"/>
            <w:r>
              <w:t xml:space="preserve"> 20.09.2017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>"..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шостої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</w:t>
            </w:r>
            <w:r>
              <w:t>д</w:t>
            </w:r>
            <w:proofErr w:type="spellEnd"/>
            <w:r>
              <w:t xml:space="preserve">  29.01.2021р 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року "Про  бюджет </w:t>
            </w:r>
            <w:proofErr w:type="spellStart"/>
            <w:r>
              <w:t>Новосанжарської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тенриторіальної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 ,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 15 лютого 2021року "Про </w:t>
            </w:r>
            <w:proofErr w:type="spellStart"/>
            <w:r>
              <w:t>п</w:t>
            </w:r>
            <w:r>
              <w:t>ерерозподіл</w:t>
            </w:r>
            <w:proofErr w:type="spellEnd"/>
            <w:r>
              <w:t xml:space="preserve"> 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  <w:r>
              <w:t xml:space="preserve">" № 25,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селищного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 19 лютого 2021року "Про </w:t>
            </w:r>
            <w:proofErr w:type="spellStart"/>
            <w:r>
              <w:t>перерозподіл</w:t>
            </w:r>
            <w:proofErr w:type="spellEnd"/>
            <w:r>
              <w:t xml:space="preserve">  </w:t>
            </w:r>
            <w:proofErr w:type="spellStart"/>
            <w:r>
              <w:t>видатків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  <w:r>
              <w:t>" № 32.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97225" w:rsidRDefault="0019722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5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Організаційнета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діяльності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та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5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97225" w:rsidRDefault="000D131D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місті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комітетів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5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5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20 606 600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406 000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21 012 600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rPr>
                <w:b/>
              </w:rPr>
              <w:t>20 606 600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rPr>
                <w:b/>
              </w:rPr>
              <w:t>406 000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rPr>
                <w:b/>
              </w:rPr>
              <w:t>21 012 600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5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19722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19722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197225">
            <w:pPr>
              <w:ind w:right="60"/>
              <w:jc w:val="right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203,00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203,00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950,00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950,00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3215,00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3215,00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101510,00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101510,00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5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97225" w:rsidRDefault="0019722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, </w:t>
            </w:r>
            <w:proofErr w:type="spellStart"/>
            <w:r>
              <w:t>скарг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97225" w:rsidRDefault="000D131D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скарг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19722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 </w:t>
            </w:r>
            <w:proofErr w:type="spellStart"/>
            <w:r>
              <w:t>прийнятих</w:t>
            </w:r>
            <w:proofErr w:type="spellEnd"/>
            <w:r>
              <w:t xml:space="preserve"> нормативно 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197225"/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225" w:rsidRDefault="000D131D">
            <w:r>
              <w:t>Людмила ГОРОБЕЦЬ</w:t>
            </w: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225" w:rsidRDefault="000D131D">
            <w:r>
              <w:rPr>
                <w:b/>
              </w:rPr>
              <w:t>19.02.2021 р.</w:t>
            </w: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  <w:tr w:rsidR="0019722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225" w:rsidRDefault="000D131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1800" w:type="dxa"/>
          </w:tcPr>
          <w:p w:rsidR="00197225" w:rsidRDefault="00197225">
            <w:pPr>
              <w:pStyle w:val="EMPTYCELLSTYLE"/>
            </w:pPr>
          </w:p>
        </w:tc>
        <w:tc>
          <w:tcPr>
            <w:tcW w:w="400" w:type="dxa"/>
          </w:tcPr>
          <w:p w:rsidR="00197225" w:rsidRDefault="00197225">
            <w:pPr>
              <w:pStyle w:val="EMPTYCELLSTYLE"/>
            </w:pPr>
          </w:p>
        </w:tc>
      </w:tr>
    </w:tbl>
    <w:p w:rsidR="00000000" w:rsidRDefault="000D131D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25"/>
    <w:rsid w:val="000D131D"/>
    <w:rsid w:val="001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FCCE3-28C3-483E-BD8B-EF03AEED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Panhenko</cp:lastModifiedBy>
  <cp:revision>2</cp:revision>
  <dcterms:created xsi:type="dcterms:W3CDTF">2021-02-22T06:59:00Z</dcterms:created>
  <dcterms:modified xsi:type="dcterms:W3CDTF">2021-02-22T06:59:00Z</dcterms:modified>
</cp:coreProperties>
</file>