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213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r>
              <w:t>Наказ / розпорядчий документ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ind w:left="60"/>
              <w:jc w:val="center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r>
              <w:t>09.08.2021 р. № 189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  <w:jc w:val="both"/>
            </w:pPr>
            <w:r>
              <w:t>Організація благоустрою населених пунктів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213FD" w:rsidRDefault="00403019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11934182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10406400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1527782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r>
              <w:t>Конституція України, Бюджетний кодекс України,Рішення третьої позачергової сесії  селищної ради  восьмого скликання від 24.12.2020 р.,рішення девятої сесії Новосанжарської селищної ради восьмого скликання від 31.05.2021 р., рішення десятої, позачерговоїї с</w:t>
            </w:r>
            <w:r>
              <w:t>есії Новосанжарської селищної ради восьмого скликання від 14.07..2021 р., рішення одинадцятої позачерговоїї сесії Новосанжарської селищної ради восьмого скликання від 05.08..2021 р.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r>
              <w:rPr>
                <w:sz w:val="24"/>
              </w:rPr>
              <w:t>6. Цілі державної політики, на досягнення яких спрямована реалізація бю</w:t>
            </w:r>
            <w:r>
              <w:rPr>
                <w:sz w:val="24"/>
              </w:rPr>
              <w:t>джетної програми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Забезпечення функціонування  об'єктів благоустрою на території громади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3FD" w:rsidRDefault="00403019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r>
              <w:t>Підвищення рівня благоустрою населених пунктів громади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256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32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213FD" w:rsidRDefault="00B213F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5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13FD" w:rsidRDefault="00403019">
            <w:pPr>
              <w:ind w:left="60"/>
            </w:pPr>
            <w:r>
              <w:t>Забезпечення облаштування та утримання в належному стані окремих територій громади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5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Забезпечення  облаштування та  утримання в  належному стані окремих територій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10 406 400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1 527 782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11 934 182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rPr>
                <w:b/>
              </w:rPr>
              <w:t>10 406 400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rPr>
                <w:b/>
              </w:rPr>
              <w:t>1 527 782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rPr>
                <w:b/>
              </w:rPr>
              <w:t>11 934 182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5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Комплексна програма "Розвиток житлово-комунального господарства" Новосанжарської селищної ради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10 406 400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1 457 578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11 863 978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rPr>
                <w:b/>
              </w:rPr>
              <w:t>10 406 400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rPr>
                <w:b/>
              </w:rPr>
              <w:t>1 457 578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rPr>
                <w:b/>
              </w:rPr>
              <w:t>11 863 978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13FD" w:rsidRDefault="0040301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13FD" w:rsidRDefault="0040301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Площа що   підлягає  підлягає  прибираннб,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 xml:space="preserve">Штатна чисельність відділу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56,50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56,50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13FD" w:rsidRDefault="0040301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13FD" w:rsidRDefault="0040301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Площа що планується до прибирання 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13FD" w:rsidRDefault="0040301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13FD" w:rsidRDefault="00403019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Середні витрати на прибирання, догляд 1 га території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22 632,45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3 322,71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25 955,16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13FD" w:rsidRDefault="0040301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13FD" w:rsidRDefault="00403019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B21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Питома вага прибраної доглянутої площі до площі що підлягає догляду та прибиранню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213FD" w:rsidRDefault="00B213F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r>
              <w:t>Геннадій СУПРУН</w:t>
            </w: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3FD" w:rsidRDefault="00403019">
            <w:r>
              <w:t>Людмила ГОРОБЕЦЬ</w:t>
            </w: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13FD" w:rsidRDefault="00403019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  <w:tr w:rsidR="00B21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3FD" w:rsidRDefault="0040301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213FD" w:rsidRDefault="00B213F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213FD" w:rsidRDefault="00B213FD">
            <w:pPr>
              <w:pStyle w:val="EMPTYCELLSTYLE"/>
            </w:pPr>
          </w:p>
        </w:tc>
        <w:tc>
          <w:tcPr>
            <w:tcW w:w="1800" w:type="dxa"/>
          </w:tcPr>
          <w:p w:rsidR="00B213FD" w:rsidRDefault="00B213FD">
            <w:pPr>
              <w:pStyle w:val="EMPTYCELLSTYLE"/>
            </w:pPr>
          </w:p>
        </w:tc>
        <w:tc>
          <w:tcPr>
            <w:tcW w:w="400" w:type="dxa"/>
          </w:tcPr>
          <w:p w:rsidR="00B213FD" w:rsidRDefault="00B213FD">
            <w:pPr>
              <w:pStyle w:val="EMPTYCELLSTYLE"/>
            </w:pPr>
          </w:p>
        </w:tc>
      </w:tr>
    </w:tbl>
    <w:p w:rsidR="00403019" w:rsidRDefault="00403019"/>
    <w:sectPr w:rsidR="0040301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D"/>
    <w:rsid w:val="00403019"/>
    <w:rsid w:val="00B213FD"/>
    <w:rsid w:val="00B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C1B68-E620-462E-9FF8-E2C43E83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2021-08-25T13:16:00Z</dcterms:created>
  <dcterms:modified xsi:type="dcterms:W3CDTF">2021-08-25T13:16:00Z</dcterms:modified>
</cp:coreProperties>
</file>