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93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93F34" w:rsidRDefault="00993F3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93F34" w:rsidRDefault="00993F3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93F34" w:rsidRDefault="00993F3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ind w:left="60"/>
              <w:jc w:val="center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r>
              <w:t>06.09.2021 р. № 221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32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93F34" w:rsidRDefault="00993F3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b/>
              </w:rPr>
              <w:t>0213104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F34" w:rsidRDefault="0030102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8524790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8494790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05.10.2005 року №308/519,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14.05.2018 року №668,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t>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 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</w:t>
            </w:r>
            <w:r>
              <w:t xml:space="preserve">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</w:t>
            </w:r>
            <w:proofErr w:type="spellStart"/>
            <w:r>
              <w:t>р.рішенн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тринадцятої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02.09.2021 р.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інвалідам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F34" w:rsidRDefault="00993F3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5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стаціонарного</w:t>
            </w:r>
            <w:proofErr w:type="spellEnd"/>
            <w:r>
              <w:t xml:space="preserve"> догляду, догляду </w:t>
            </w:r>
            <w:proofErr w:type="spellStart"/>
            <w:r>
              <w:t>вдома</w:t>
            </w:r>
            <w:proofErr w:type="spellEnd"/>
            <w:r>
              <w:t xml:space="preserve">, денного догляду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 в </w:t>
            </w:r>
            <w:proofErr w:type="spellStart"/>
            <w:r>
              <w:t>установах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</w:t>
            </w:r>
            <w:r>
              <w:rPr>
                <w:sz w:val="24"/>
              </w:rPr>
              <w:t>ів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5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8 494 790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8 524 790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rPr>
                <w:b/>
              </w:rPr>
              <w:t>8 494 790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rPr>
                <w:b/>
              </w:rPr>
              <w:t>8 524 790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5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993F3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993F3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993F34">
            <w:pPr>
              <w:ind w:right="60"/>
              <w:jc w:val="right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75,25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76,50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професіоналів</w:t>
            </w:r>
            <w:proofErr w:type="spellEnd"/>
            <w:r>
              <w:t xml:space="preserve">, </w:t>
            </w:r>
            <w:proofErr w:type="spellStart"/>
            <w:r>
              <w:t>фахівців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65,75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67,00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2 500,00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5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F34" w:rsidRDefault="00993F3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забезпечених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(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2 500,00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у тому </w:t>
            </w:r>
            <w:proofErr w:type="spellStart"/>
            <w:r>
              <w:t>числі</w:t>
            </w:r>
            <w:proofErr w:type="spellEnd"/>
            <w:r>
              <w:t xml:space="preserve"> з V </w:t>
            </w:r>
            <w:proofErr w:type="spellStart"/>
            <w:r>
              <w:t>групою</w:t>
            </w:r>
            <w:proofErr w:type="spellEnd"/>
            <w:r>
              <w:t xml:space="preserve"> </w:t>
            </w:r>
            <w:proofErr w:type="spellStart"/>
            <w:r>
              <w:t>рухової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одного </w:t>
            </w:r>
            <w:proofErr w:type="spellStart"/>
            <w:r>
              <w:t>чоловіка</w:t>
            </w:r>
            <w:proofErr w:type="spellEnd"/>
            <w:r>
              <w:t xml:space="preserve"> </w:t>
            </w:r>
            <w:proofErr w:type="spellStart"/>
            <w:r>
              <w:t>територіальним</w:t>
            </w:r>
            <w:proofErr w:type="spellEnd"/>
            <w:r>
              <w:t xml:space="preserve"> центром,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рік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3 398,00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3 410,00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обслуговуваних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 </w:t>
            </w:r>
            <w:proofErr w:type="spellStart"/>
            <w:r>
              <w:t>професіонала</w:t>
            </w:r>
            <w:proofErr w:type="spellEnd"/>
            <w:r>
              <w:t xml:space="preserve">, </w:t>
            </w:r>
            <w:proofErr w:type="spellStart"/>
            <w:r>
              <w:t>фахівця</w:t>
            </w:r>
            <w:proofErr w:type="spellEnd"/>
            <w:r>
              <w:t xml:space="preserve"> та </w:t>
            </w:r>
            <w:proofErr w:type="spellStart"/>
            <w:r>
              <w:t>робітника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37,00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F34" w:rsidRDefault="0030102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993F3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,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proofErr w:type="spellStart"/>
            <w:r>
              <w:t>Таміла</w:t>
            </w:r>
            <w:proofErr w:type="spellEnd"/>
            <w:r>
              <w:t xml:space="preserve"> МУЗИКА</w:t>
            </w: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F34" w:rsidRDefault="0030102B">
            <w:r>
              <w:t>Людмила ГОРОБЕЦЬ</w:t>
            </w: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F34" w:rsidRDefault="0030102B">
            <w:r>
              <w:rPr>
                <w:b/>
              </w:rPr>
              <w:t>06.09.2021 р.</w:t>
            </w: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  <w:tr w:rsidR="00993F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F34" w:rsidRDefault="0030102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1800" w:type="dxa"/>
          </w:tcPr>
          <w:p w:rsidR="00993F34" w:rsidRDefault="00993F34">
            <w:pPr>
              <w:pStyle w:val="EMPTYCELLSTYLE"/>
            </w:pPr>
          </w:p>
        </w:tc>
        <w:tc>
          <w:tcPr>
            <w:tcW w:w="400" w:type="dxa"/>
          </w:tcPr>
          <w:p w:rsidR="00993F34" w:rsidRDefault="00993F34">
            <w:pPr>
              <w:pStyle w:val="EMPTYCELLSTYLE"/>
            </w:pPr>
          </w:p>
        </w:tc>
      </w:tr>
    </w:tbl>
    <w:p w:rsidR="0030102B" w:rsidRDefault="0030102B"/>
    <w:sectPr w:rsidR="0030102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34"/>
    <w:rsid w:val="0030102B"/>
    <w:rsid w:val="00993F34"/>
    <w:rsid w:val="00B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03848-80EC-4B0A-95FE-9CD12C47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2021-09-14T07:23:00Z</dcterms:created>
  <dcterms:modified xsi:type="dcterms:W3CDTF">2021-09-14T07:23:00Z</dcterms:modified>
</cp:coreProperties>
</file>