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762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7626A" w:rsidRDefault="0087626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7626A" w:rsidRDefault="0087626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7626A" w:rsidRDefault="0087626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r>
              <w:t>Наказ / розпорядчий документ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ind w:left="60"/>
              <w:jc w:val="center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r>
              <w:t>27.10.2021 р. № 268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32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7626A" w:rsidRDefault="0087626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rPr>
                <w:b/>
              </w:rPr>
              <w:t>0217691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>7691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both"/>
            </w:pPr>
            <w: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</w:t>
            </w:r>
            <w:r>
              <w:t>амоврядування і місцевими органами виконавчої влади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7626A" w:rsidRDefault="00B521D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686355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686355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r>
              <w:t xml:space="preserve">  Конституція України, Бюджетний кодекс України, Закон України "Про місцеве самоврядування в Україні, Закон України "Про службу в органах місцевого самоврядування", Постанова КМУ №228 від 28.02.2002 року "Про затвердження Порядку складання, розгляду, затве</w:t>
            </w:r>
            <w:r>
              <w:t>рдження та основних вимог до виконання кошторисів бюджетних установ", Наказ МФУ №836 від 26.08.2014 року "Про деякі питання запровадження програмно-цільового методу складання та виконання місцевих бюджетів",Наказ МФУ №648 від 17.07.2015 року "Про затвердже</w:t>
            </w:r>
            <w:r>
              <w:t>ння типових форм бюджетних запитів для формування місцевих бюджетівіїї, Наказ МФУ №793 від 20.09.2017 року "Про затвердження складових програмної класифікації видатків та кредитування місцевих бюджетів".Рішення сьомої  позачергової сесії Новосанжарської се</w:t>
            </w:r>
            <w:r>
              <w:t xml:space="preserve">лищної ради  восьмого скликання від 04.03.2021 р, рішення девятої сесії Новосанжарської селищної ради  восьмого скликання від 31.05.2021 р., рішення чотирнадцятої позачергової сесії Новосанжарської селищної ради  восьмого скликання від 26.10.2021 р.. 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626A" w:rsidRDefault="0087626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5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Забезпечення  належних умов надання первинної  медичної  допомоги населенню за місцем проживання ( перебування)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626A" w:rsidRDefault="00B521D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r>
              <w:t>Забезпечення  належних умов надання первинної  медичної  допомоги  населенню зав місцем проживання  ( перебування)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5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626A" w:rsidRDefault="00B521DA">
            <w:pPr>
              <w:ind w:left="60"/>
            </w:pPr>
            <w:r>
              <w:t>Проведення поточних ремонтів  приміщень  амбулаторій загальної практики -сімейної медицин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5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Проведення поточних ремонтів приміщень амбулаторій загальної практики-сімейної медицини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136 855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136 855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Виготовлення генеральних планів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500 000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Проведення робіт з поверхневого вогнезахисного просочування дерев"яних конструкцій даху будівлі КЗ "Новосанжарська публічна бібіліотека" Новосанжарської селищної ради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49 500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49 500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rPr>
                <w:b/>
              </w:rPr>
              <w:t>686 355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rPr>
                <w:b/>
              </w:rPr>
              <w:t>686 355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5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Програма підтримки Комунального некомерційного підприємства Новосанжарський Центр первинної медико-санітарної допомоги Новосанжарської селищної ради Полтавського району Полтавської  області"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136 855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136 855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Програма розробки містобудівно</w:t>
            </w:r>
            <w:r>
              <w:t>ї документації в межах території Новосанжарської селищної громади 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500 000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rPr>
                <w:b/>
              </w:rPr>
              <w:t>636 855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rPr>
                <w:b/>
              </w:rPr>
              <w:t>636 855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626A" w:rsidRDefault="00B521D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626A" w:rsidRDefault="00B521D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5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7626A" w:rsidRDefault="0087626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136 855,00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136 855,00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500 000,00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500 000,00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Проведення робіт з поверхневого вогнезахисного просочування даху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49 500,00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49 500,00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626A" w:rsidRDefault="00B521D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626A" w:rsidRDefault="00B521D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Кількість об'єктів на яких планується  проведення  поточного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Кількість укладених договорів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Кількість генеральних планів що планується виготовити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Кількість об"єктів, на яких планується обробка дерев"яних конструкцій даху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626A" w:rsidRDefault="00B521D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626A" w:rsidRDefault="00B521D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Середня вартість  поточного ремонту одного  об'єкта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34 213,75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34 213,75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Середні витрати на виготовлення 1 генплану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166 666,67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166 666,67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середня вартість робіт по обробці дерев"яних конструкцій даху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49 500,00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49 500,00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626A" w:rsidRDefault="00B521D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7626A" w:rsidRDefault="00B521D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Відсоток  освоєння 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Фінансова 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 xml:space="preserve">Відсоток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8762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 xml:space="preserve"> Відсоток освоєння коштів, передбачених на обробку даху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r>
              <w:t>Геннадій СУПРУН</w:t>
            </w: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26A" w:rsidRDefault="00B521DA">
            <w:r>
              <w:t>Людмила ГОРОБЕЦЬ</w:t>
            </w: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626A" w:rsidRDefault="00B521DA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  <w:tr w:rsidR="008762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6A" w:rsidRDefault="00B521D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1800" w:type="dxa"/>
          </w:tcPr>
          <w:p w:rsidR="0087626A" w:rsidRDefault="0087626A">
            <w:pPr>
              <w:pStyle w:val="EMPTYCELLSTYLE"/>
            </w:pPr>
          </w:p>
        </w:tc>
        <w:tc>
          <w:tcPr>
            <w:tcW w:w="400" w:type="dxa"/>
          </w:tcPr>
          <w:p w:rsidR="0087626A" w:rsidRDefault="0087626A">
            <w:pPr>
              <w:pStyle w:val="EMPTYCELLSTYLE"/>
            </w:pPr>
          </w:p>
        </w:tc>
      </w:tr>
    </w:tbl>
    <w:p w:rsidR="00B521DA" w:rsidRDefault="00B521DA"/>
    <w:sectPr w:rsidR="00B521D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6A"/>
    <w:rsid w:val="004F3471"/>
    <w:rsid w:val="0087626A"/>
    <w:rsid w:val="00B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3276B-E41A-47CB-A76F-FA09876F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2021-11-10T09:10:00Z</dcterms:created>
  <dcterms:modified xsi:type="dcterms:W3CDTF">2021-11-10T09:10:00Z</dcterms:modified>
</cp:coreProperties>
</file>