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85035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32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32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32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32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32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32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32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32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ind w:left="60"/>
              <w:jc w:val="center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32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32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r>
              <w:t>18.02.2022 р. № 61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32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2022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pPr>
              <w:jc w:val="center"/>
            </w:pPr>
            <w:r>
              <w:rPr>
                <w:b/>
              </w:rPr>
              <w:t>0217330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pPr>
              <w:jc w:val="center"/>
            </w:pPr>
            <w:r>
              <w:t>7330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  <w:jc w:val="both"/>
            </w:pPr>
            <w:proofErr w:type="spellStart"/>
            <w:r>
              <w:t>Будівництво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об`єктів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50355" w:rsidRDefault="00A5595F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сімнадцятої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2021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</w:t>
            </w:r>
            <w:r>
              <w:t>ади</w:t>
            </w:r>
            <w:proofErr w:type="spellEnd"/>
            <w:r>
              <w:t xml:space="preserve"> на 2022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вісімнадцятої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15 лютого 2022 року.                                                                                                                            </w:t>
            </w:r>
            <w:r>
              <w:t xml:space="preserve">         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</w:pPr>
            <w:proofErr w:type="spellStart"/>
            <w:r>
              <w:t>Будівництво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об`єктів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50355" w:rsidRDefault="00A5595F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roofErr w:type="spellStart"/>
            <w:r>
              <w:t>Розроблення</w:t>
            </w:r>
            <w:proofErr w:type="spellEnd"/>
            <w:r>
              <w:t xml:space="preserve"> проектно-</w:t>
            </w:r>
            <w:proofErr w:type="spellStart"/>
            <w:r>
              <w:t>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</w:t>
            </w:r>
            <w:proofErr w:type="spellStart"/>
            <w:r>
              <w:t>об`єктів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256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32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50355" w:rsidRDefault="0085035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5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355" w:rsidRDefault="00A5595F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обєктів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5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</w:pPr>
            <w:proofErr w:type="spellStart"/>
            <w:r>
              <w:t>Розроблення</w:t>
            </w:r>
            <w:proofErr w:type="spellEnd"/>
            <w:r>
              <w:t xml:space="preserve"> проектно-</w:t>
            </w:r>
            <w:proofErr w:type="spellStart"/>
            <w:r>
              <w:t>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</w:t>
            </w:r>
            <w:proofErr w:type="spellStart"/>
            <w:r>
              <w:t>об`єктів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5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</w:pPr>
            <w:r>
              <w:t xml:space="preserve">Комплексна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2022 </w:t>
            </w:r>
            <w:proofErr w:type="spellStart"/>
            <w:r>
              <w:t>рік</w:t>
            </w:r>
            <w:proofErr w:type="spellEnd"/>
            <w:r>
              <w:t>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355" w:rsidRDefault="00A5595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355" w:rsidRDefault="00A5595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розроблення</w:t>
            </w:r>
            <w:proofErr w:type="spellEnd"/>
            <w:r>
              <w:t xml:space="preserve"> проектно-</w:t>
            </w:r>
            <w:proofErr w:type="spellStart"/>
            <w:r>
              <w:t>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355" w:rsidRDefault="00A5595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355" w:rsidRDefault="00A5595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обєктів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розробити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355" w:rsidRDefault="00A5595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355" w:rsidRDefault="00A5595F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розроблення</w:t>
            </w:r>
            <w:proofErr w:type="spellEnd"/>
            <w:r>
              <w:t xml:space="preserve"> проекту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355" w:rsidRDefault="00A5595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355" w:rsidRDefault="00A5595F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85035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  <w:r>
              <w:t xml:space="preserve"> до початку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16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50355" w:rsidRDefault="0085035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55" w:rsidRDefault="00A5595F">
            <w:r>
              <w:t>Людмила ГОРОБЕЦЬ</w:t>
            </w: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0355" w:rsidRDefault="00A5595F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  <w:tr w:rsidR="0085035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55" w:rsidRDefault="00A5595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50355" w:rsidRDefault="0085035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50355" w:rsidRDefault="00850355">
            <w:pPr>
              <w:pStyle w:val="EMPTYCELLSTYLE"/>
            </w:pPr>
          </w:p>
        </w:tc>
        <w:tc>
          <w:tcPr>
            <w:tcW w:w="1800" w:type="dxa"/>
          </w:tcPr>
          <w:p w:rsidR="00850355" w:rsidRDefault="00850355">
            <w:pPr>
              <w:pStyle w:val="EMPTYCELLSTYLE"/>
            </w:pPr>
          </w:p>
        </w:tc>
        <w:tc>
          <w:tcPr>
            <w:tcW w:w="400" w:type="dxa"/>
          </w:tcPr>
          <w:p w:rsidR="00850355" w:rsidRDefault="00850355">
            <w:pPr>
              <w:pStyle w:val="EMPTYCELLSTYLE"/>
            </w:pPr>
          </w:p>
        </w:tc>
      </w:tr>
    </w:tbl>
    <w:p w:rsidR="00A5595F" w:rsidRDefault="00A5595F"/>
    <w:sectPr w:rsidR="00A5595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5"/>
    <w:rsid w:val="00272402"/>
    <w:rsid w:val="00850355"/>
    <w:rsid w:val="00A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403B7-A950-423B-98B5-E9DABE06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2022-03-14T09:31:00Z</dcterms:created>
  <dcterms:modified xsi:type="dcterms:W3CDTF">2022-03-14T09:31:00Z</dcterms:modified>
</cp:coreProperties>
</file>